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Restrictions on certain subcontractors</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employs unfit persons.</w:t>
      </w:r>
    </w:p>
    <w:p w:rsidR="00000000" w:rsidDel="00000000" w:rsidP="00000000" w:rsidRDefault="00000000" w:rsidRPr="00000000" w14:paraId="00000009">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copy of the proposed Key Sub-Contract; and </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further information reasonably requested by CCS and/or the Buyer.</w:t>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CCS and the Buyer to enforce the Key Sub-Contract as if it were the Supplier;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requirements set out in Clause 14 (Data protection);</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FOIA and other access request requirements set out in Clause 16 (When you can share information);</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audits set out in Clause 6 (Record keeping and reporting);</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6 (Key Subcontractors)</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xtnyqZl+A4xZq4oi9cYqBj8MTw==">CgMxLjAyCGguZ2pkZ3hzMgloLjMwajB6bGwyCWguMWZvYjl0ZTIJaC4zem55c2g3MgloLjJldDkycDAyCmlkLjNkeTZ2a20yCGgudHlqY3d0OAByITFENS1ZVHlkQ1dYd1pjX0Y1Y1A4OTFwb01JV0tFYUYxNA==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